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186</w:t>
      </w:r>
    </w:p>
    <w:p>
      <w:r>
        <w:t>Bundesgericht (BGE), 1977-10-06, DE</w:t>
      </w:r>
    </w:p>
    <w:p>
      <w:r>
        <w:rPr>
          <w:b/>
        </w:rPr>
        <w:t xml:space="preserve">Quelle: </w:t>
      </w:r>
      <w:r>
        <w:t>https://mcp.opencaselaw.ch/entscheid/bge_103 II 186</w:t>
      </w:r>
    </w:p>
    <w:p>
      <w:r>
        <w:t>FR: ATF 103 II 186</w:t>
      </w:r>
    </w:p>
    <w:p>
      <w:r>
        <w:t>IT: DTF 103 II 186</w:t>
      </w:r>
    </w:p>
    <w:p>
      <w:pPr>
        <w:pStyle w:val="Heading2"/>
      </w:pPr>
      <w:r>
        <w:t>Regeste</w:t>
      </w:r>
    </w:p>
    <w:p>
      <w:r>
        <w:t>Regeste Erwerb einer gestohlenen Sache; Art. 934 ZGB. Der Käufer einer beweglichen Sache, der weiss, dass diese dem Berechtigten gestohlen wurde, ist bösgläubig und hat auch dann keinen Anspruch auf Vergütung des für die herauszugebende Sache bezahlten Preises, wenn der Veräusserer guten Glaubens war.</w:t>
      </w:r>
    </w:p>
    <w:p>
      <w:pPr>
        <w:pStyle w:val="Heading2"/>
      </w:pPr>
      <w:r>
        <w:t>Erwägungen</w:t>
      </w:r>
    </w:p>
    <w:p>
      <w:r>
        <w:rPr>
          <w:b/>
        </w:rPr>
        <w:t>E. 2</w:t>
      </w:r>
    </w:p>
    <w:p>
      <w:r>
        <w:t>a) Wieweit der Besitzer einer vom Nichtberechtigten erworbenen beweglichen Sache geschützt ist, hängt einerseits von den Umständen ab, unter denen der Besitz des (früheren) Berechtigten unterging (freiwilliger oder unfreiwilliger Besitzesverlust), und andererseits von den Umständen, unter denen der Besitzer die Sache erwarb (guter oder böser Glaube). War die Sache dem Veräusserer - wenn auch ohne Ermächtigung zur Weiterübertragung - anvertraut worden, ist der gutgläubige Erwerber in seinem Eigentum oder beschränkten dinglichen Recht an ihr zu schützen ( Art. 933 ZGB ). Der gute Glaube muss sich dabei auf die Berechtigung des Veräusserers beziehen, über die Sache zu verfügen (STARK, N. 55, und HOMBERGER, N. 25 zu Art. 933 ZGB ; HINDERLING, in Schweizerisches Privatrecht, Band V/1 S. 478). Demgegenüber kann der frühere Besitzer, dem eine bewegliche Sache gestohlen worden, verlorengegangen oder sonst ohne seinen Willen abhanden gekommen ist, sie während fünf Jahren jedem Empfänger abfordern ( Art. 934 Abs. 1 ZGB ). Dem gutgläubigen Empfänger, der die Sache an einer öffentlichen Versteigerung, auf dem Markt oder von einem Kaufmann, der mit Waren der betreffenden Art handelt, erworben hat, steht jedoch der Anspruch auf Vergütung des von ihm entrichteten Preises zu (sog. Lösungsrecht; Art. 934 Abs. 2 ZGB ). b) Unbestritten ist, dass der Mercedes der berechtigten Firma Kapsreiter &amp; Koch gestohlen worden war, wovon der Beklagte laut Ziffer 8 des Vertrages im Zeitpunkt des Kaufes Kenntnis hatte. Eine den Rechtsmangel heilende Ersitzung durch Hüni oder einen seiner Vormänner war aus zeitlichen Gründen nicht möglich ( Art. 934 Abs. 1 und Art. 714 Abs. 2 ZGB ). Der Beklagte anerkennt denn auch, zur Herausgabe des Wagens verpflichtet gewesen zu sein, doch erhebt er Anspruch auf Ersatz des bezahlten Kaufpreises mit der Begründung, er habe Hüni gutgläubig für berechtigt gehalten, ihm das Automobil zu verkaufen. Dass er gemeint habe, jener sei Eigentümer gewesen, scheint er - angesichts seines mit der deliktischen Herkunft des Fahrzeuges zusammenhängenden vertraglichen Verzichts auf allfälligen Schadenersatz zu Recht - BGE 103 II 186 S. 189 nicht geltend machen zu wollen. Da er wusste, dass der Mercedes der Berechtigten gestohlen worden und somit ohne deren Willen in Hünis Besitz gelangt war, durfte er aber auch nicht in guten Treuen annehmen, jene habe diesen zur Übertragung des Wagens an ihn ermächtigt. Guter Glaube war in Anbetracht des Wissens um den Diebstahl schlechterdings ausgeschlossen. Die Behauptung des Beklagten, der Polizeibeamte Keller habe ihm erklärt, es könne ihm bei einem Kauf des Fahrzeuges nichts geschehen, ist daher unbehelflich. Die Vorinstanz sah mit Recht davon ab, Keller als Zeugen einzuvernehmen, so dass der deswegen gegen sie erhobene Vorwurf der Verletzung von Art. 8 ZGB von vornherein unbegründet ist. Ebensowenig kann der Beklagte daraus etwas zu seinen Gunsten ableiten, dass ihm das Strassenverkehrsamt für den Mercedes ohne weiteres Kontrollschilder und einen Fahrzeugausweis abgab. c) Ist der Beklagte mithin als bösgläubig zu betrachten, war er gemäss Art. 934 Abs. 2 ZGB verpflichtet, den Wagen ohne Anspruch auf Entschädigung herauszugeben, ungeachtet der (unbestrittenen) Tatsache, dass Hüni ein Kaufmann ist, der mit Automobilen handelt. Dass dieser demgegenüber ein Lösungsrecht gehabt haben könnte, ist bedeutungslos, da ohnehin nur der gutgläubige Rechtsnachfolger desjenigen, dem ein solches zustand, seinerseits die Vergütung des entrichteten Erwerbspreises verlangen kann (vgl. STARK, N. 41 zu Art. 934 ZGB ). Mit Recht hat die Vorinstanz dem bösgläubigen Beklagten diesen Anspruch nicht zuerkannt und ihn verpflichtet, die Schweizerische Kreditanstalt zu ermächtigen, der Klägerin den hinterlegten Betrag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